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2E720B">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2E720B">
        <w:rPr>
          <w:rFonts w:asciiTheme="majorBidi" w:hAnsiTheme="majorBidi" w:cstheme="majorBidi"/>
          <w:b/>
        </w:rPr>
        <w:t>16</w:t>
      </w:r>
      <w:r w:rsidR="002F11DB" w:rsidRPr="007851B5">
        <w:rPr>
          <w:rFonts w:asciiTheme="majorBidi" w:hAnsiTheme="majorBidi" w:cstheme="majorBidi"/>
          <w:b/>
        </w:rPr>
        <w:t>-</w:t>
      </w:r>
      <w:r w:rsidR="001D7F04" w:rsidRPr="007851B5">
        <w:rPr>
          <w:rFonts w:asciiTheme="majorBidi" w:hAnsiTheme="majorBidi" w:cstheme="majorBidi"/>
          <w:b/>
        </w:rPr>
        <w:t>0</w:t>
      </w:r>
      <w:r w:rsidR="00E122BF">
        <w:rPr>
          <w:rFonts w:asciiTheme="majorBidi" w:hAnsiTheme="majorBidi" w:cstheme="majorBidi"/>
          <w:b/>
        </w:rPr>
        <w:t>2</w:t>
      </w:r>
      <w:r w:rsidR="00C6371A" w:rsidRPr="007851B5">
        <w:rPr>
          <w:rFonts w:asciiTheme="majorBidi" w:hAnsiTheme="majorBidi" w:cstheme="majorBidi"/>
          <w:b/>
        </w:rPr>
        <w:t>-201</w:t>
      </w:r>
      <w:r w:rsidR="001D7F04" w:rsidRPr="007851B5">
        <w:rPr>
          <w:rFonts w:asciiTheme="majorBidi" w:hAnsiTheme="majorBidi" w:cstheme="majorBidi"/>
          <w:b/>
        </w:rPr>
        <w:t>8</w:t>
      </w:r>
    </w:p>
    <w:p w:rsidR="00CA6BD6" w:rsidRPr="007851B5" w:rsidRDefault="002E720B" w:rsidP="00657160">
      <w:pPr>
        <w:spacing w:line="276" w:lineRule="auto"/>
        <w:contextualSpacing/>
        <w:jc w:val="right"/>
        <w:rPr>
          <w:rFonts w:asciiTheme="majorBidi" w:hAnsiTheme="majorBidi" w:cstheme="majorBidi"/>
          <w:b/>
        </w:rPr>
      </w:pPr>
      <w:r w:rsidRPr="00716E92">
        <w:rPr>
          <w:rFonts w:ascii="Times New Roman" w:hAnsi="Times New Roman" w:cs="Times New Roman"/>
          <w:b/>
          <w:noProof/>
          <w:color w:val="000000" w:themeColor="text1"/>
          <w:sz w:val="23"/>
          <w:szCs w:val="23"/>
          <w:lang w:eastAsia="nl-NL"/>
        </w:rPr>
        <w:drawing>
          <wp:inline distT="0" distB="0" distL="0" distR="0" wp14:anchorId="343F333E" wp14:editId="779DAB49">
            <wp:extent cx="3239770" cy="11830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1183034"/>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2E720B" w:rsidP="00A27075">
      <w:pPr>
        <w:spacing w:line="276" w:lineRule="auto"/>
        <w:contextualSpacing/>
        <w:jc w:val="both"/>
        <w:rPr>
          <w:rFonts w:asciiTheme="majorBidi" w:hAnsiTheme="majorBidi" w:cstheme="majorBidi"/>
          <w:b/>
        </w:rPr>
      </w:pPr>
      <w:r>
        <w:rPr>
          <w:rFonts w:asciiTheme="majorBidi" w:hAnsiTheme="majorBidi" w:cstheme="majorBidi"/>
          <w:b/>
        </w:rPr>
        <w:t>LIEFDADIGHEID</w:t>
      </w:r>
    </w:p>
    <w:p w:rsidR="00CA6BD6" w:rsidRPr="003F58EE" w:rsidRDefault="00CA6BD6" w:rsidP="00CA6BD6">
      <w:pPr>
        <w:spacing w:line="276" w:lineRule="auto"/>
        <w:contextualSpacing/>
        <w:jc w:val="both"/>
        <w:rPr>
          <w:rFonts w:asciiTheme="majorBidi" w:hAnsiTheme="majorBidi" w:cstheme="majorBidi"/>
          <w:bCs/>
          <w:sz w:val="12"/>
          <w:szCs w:val="12"/>
        </w:rPr>
      </w:pPr>
    </w:p>
    <w:p w:rsidR="00172613" w:rsidRDefault="00C921B7" w:rsidP="00F115FE">
      <w:pPr>
        <w:spacing w:line="276" w:lineRule="auto"/>
        <w:contextualSpacing/>
        <w:jc w:val="both"/>
        <w:rPr>
          <w:rFonts w:asciiTheme="majorBidi" w:hAnsiTheme="majorBidi" w:cstheme="majorBidi"/>
          <w:bCs/>
        </w:rPr>
      </w:pPr>
      <w:r>
        <w:rPr>
          <w:rFonts w:asciiTheme="majorBidi" w:hAnsiTheme="majorBidi" w:cstheme="majorBidi"/>
          <w:bCs/>
        </w:rPr>
        <w:t xml:space="preserve">In de heilige Qurʾān informeert Allah </w:t>
      </w:r>
      <w:r w:rsidR="00A27075">
        <w:rPr>
          <w:rFonts w:asciiTheme="majorBidi" w:hAnsiTheme="majorBidi" w:cstheme="majorBidi"/>
          <w:bCs/>
        </w:rPr>
        <w:t>ons</w:t>
      </w:r>
      <w:r>
        <w:rPr>
          <w:rFonts w:asciiTheme="majorBidi" w:hAnsiTheme="majorBidi" w:cstheme="majorBidi"/>
          <w:bCs/>
        </w:rPr>
        <w:t xml:space="preserve"> als volgt: </w:t>
      </w:r>
      <w:r>
        <w:rPr>
          <w:rFonts w:asciiTheme="majorBidi" w:hAnsiTheme="majorBidi" w:cstheme="majorBidi"/>
          <w:b/>
        </w:rPr>
        <w:t>‘</w:t>
      </w:r>
      <w:r w:rsidR="00172613">
        <w:rPr>
          <w:rFonts w:asciiTheme="majorBidi" w:hAnsiTheme="majorBidi" w:cstheme="majorBidi"/>
          <w:b/>
        </w:rPr>
        <w:t xml:space="preserve">Degene die Allah vreest en het goede bevestigt, voor hem vergemakkelijken Wij </w:t>
      </w:r>
      <w:r w:rsidR="0040422A">
        <w:rPr>
          <w:rFonts w:asciiTheme="majorBidi" w:hAnsiTheme="majorBidi" w:cstheme="majorBidi"/>
          <w:b/>
        </w:rPr>
        <w:t>het pad naar het goede. Degene die zich gierig gedraagt en zichzelf zelfgenoegzaam</w:t>
      </w:r>
      <w:r w:rsidR="00F115FE">
        <w:rPr>
          <w:rFonts w:asciiTheme="majorBidi" w:hAnsiTheme="majorBidi" w:cstheme="majorBidi"/>
          <w:b/>
        </w:rPr>
        <w:t xml:space="preserve"> [</w:t>
      </w:r>
      <w:r w:rsidR="0040422A">
        <w:rPr>
          <w:rFonts w:asciiTheme="majorBidi" w:hAnsiTheme="majorBidi" w:cstheme="majorBidi"/>
          <w:b/>
        </w:rPr>
        <w:t>niets anders nodig hebbend</w:t>
      </w:r>
      <w:r w:rsidR="00F115FE">
        <w:rPr>
          <w:rFonts w:asciiTheme="majorBidi" w:hAnsiTheme="majorBidi" w:cstheme="majorBidi"/>
          <w:b/>
        </w:rPr>
        <w:t>]</w:t>
      </w:r>
      <w:r w:rsidR="0040422A">
        <w:rPr>
          <w:rFonts w:asciiTheme="majorBidi" w:hAnsiTheme="majorBidi" w:cstheme="majorBidi"/>
          <w:b/>
        </w:rPr>
        <w:t xml:space="preserve"> ziet en het goede ontkent</w:t>
      </w:r>
      <w:r w:rsidR="0007217B">
        <w:rPr>
          <w:rFonts w:asciiTheme="majorBidi" w:hAnsiTheme="majorBidi" w:cstheme="majorBidi"/>
          <w:b/>
        </w:rPr>
        <w:t>, voor hem vergemakkelijken Wij het pad naar het moeilijke</w:t>
      </w:r>
      <w:r w:rsidR="00E122BF">
        <w:rPr>
          <w:rFonts w:asciiTheme="majorBidi" w:hAnsiTheme="majorBidi" w:cstheme="majorBidi"/>
          <w:b/>
        </w:rPr>
        <w:t>.</w:t>
      </w:r>
      <w:r w:rsidR="00336FBF">
        <w:rPr>
          <w:rFonts w:asciiTheme="majorBidi" w:hAnsiTheme="majorBidi" w:cstheme="majorBidi"/>
          <w:b/>
        </w:rPr>
        <w:t>’</w:t>
      </w:r>
      <w:r w:rsidR="00336FBF">
        <w:rPr>
          <w:rStyle w:val="Voetnootmarkering"/>
          <w:rFonts w:asciiTheme="majorBidi" w:hAnsiTheme="majorBidi" w:cstheme="majorBidi"/>
          <w:b/>
        </w:rPr>
        <w:footnoteReference w:id="1"/>
      </w:r>
      <w:r w:rsidR="00336FBF">
        <w:rPr>
          <w:rFonts w:asciiTheme="majorBidi" w:hAnsiTheme="majorBidi" w:cstheme="majorBidi"/>
          <w:bCs/>
        </w:rPr>
        <w:t xml:space="preserve"> </w:t>
      </w:r>
      <w:r w:rsidR="0007217B">
        <w:rPr>
          <w:rFonts w:asciiTheme="majorBidi" w:hAnsiTheme="majorBidi" w:cstheme="majorBidi"/>
          <w:bCs/>
        </w:rPr>
        <w:t>Beste broeders, jezelf bezig houden met liefdadigheid (</w:t>
      </w:r>
      <w:r w:rsidR="0007217B">
        <w:rPr>
          <w:rFonts w:asciiTheme="majorBidi" w:hAnsiTheme="majorBidi" w:cstheme="majorBidi"/>
          <w:bCs/>
          <w:i/>
          <w:iCs/>
        </w:rPr>
        <w:t>ṣadaqa</w:t>
      </w:r>
      <w:r w:rsidR="0007217B">
        <w:rPr>
          <w:rFonts w:asciiTheme="majorBidi" w:hAnsiTheme="majorBidi" w:cstheme="majorBidi"/>
          <w:bCs/>
        </w:rPr>
        <w:t>) is een uiting van een diepgewortelde geloofsovertuiging (</w:t>
      </w:r>
      <w:r w:rsidR="0007217B">
        <w:rPr>
          <w:rFonts w:asciiTheme="majorBidi" w:hAnsiTheme="majorBidi" w:cstheme="majorBidi"/>
          <w:bCs/>
          <w:i/>
          <w:iCs/>
        </w:rPr>
        <w:t>īmān</w:t>
      </w:r>
      <w:r w:rsidR="0007217B">
        <w:rPr>
          <w:rFonts w:asciiTheme="majorBidi" w:hAnsiTheme="majorBidi" w:cstheme="majorBidi"/>
          <w:bCs/>
        </w:rPr>
        <w:t>) en oprechtheid (</w:t>
      </w:r>
      <w:r w:rsidR="0007217B">
        <w:rPr>
          <w:rFonts w:asciiTheme="majorBidi" w:hAnsiTheme="majorBidi" w:cstheme="majorBidi"/>
          <w:bCs/>
          <w:i/>
          <w:iCs/>
        </w:rPr>
        <w:t>ikhlāṣ</w:t>
      </w:r>
      <w:r w:rsidR="0007217B">
        <w:rPr>
          <w:rFonts w:asciiTheme="majorBidi" w:hAnsiTheme="majorBidi" w:cstheme="majorBidi"/>
          <w:bCs/>
        </w:rPr>
        <w:t>). Daarnaast is liefdadigheid een uitdrukking van jouw geloof in het Hiernamaals (</w:t>
      </w:r>
      <w:r w:rsidR="0007217B">
        <w:rPr>
          <w:rFonts w:asciiTheme="majorBidi" w:hAnsiTheme="majorBidi" w:cstheme="majorBidi"/>
          <w:bCs/>
          <w:i/>
          <w:iCs/>
        </w:rPr>
        <w:t>ākhira</w:t>
      </w:r>
      <w:r w:rsidR="0007217B">
        <w:rPr>
          <w:rFonts w:asciiTheme="majorBidi" w:hAnsiTheme="majorBidi" w:cstheme="majorBidi"/>
          <w:bCs/>
        </w:rPr>
        <w:t xml:space="preserve">). Liefdadigheid bestaat </w:t>
      </w:r>
      <w:r w:rsidR="00F115FE">
        <w:rPr>
          <w:rFonts w:asciiTheme="majorBidi" w:hAnsiTheme="majorBidi" w:cstheme="majorBidi"/>
          <w:bCs/>
        </w:rPr>
        <w:t>meestal</w:t>
      </w:r>
      <w:r w:rsidR="0007217B">
        <w:rPr>
          <w:rFonts w:asciiTheme="majorBidi" w:hAnsiTheme="majorBidi" w:cstheme="majorBidi"/>
          <w:bCs/>
        </w:rPr>
        <w:t xml:space="preserve"> uit het doneren van een geldbedrag. Maar niet iedereen is rijk. En geld is niet altijd het juiste middel om liefdadigheid</w:t>
      </w:r>
      <w:r w:rsidR="00806EC7">
        <w:rPr>
          <w:rFonts w:asciiTheme="majorBidi" w:hAnsiTheme="majorBidi" w:cstheme="majorBidi"/>
          <w:bCs/>
        </w:rPr>
        <w:t xml:space="preserve"> te bereiken. Een arme kan geld goed gebruiken, maar het afleggen van een ziekenbezoek is ook een vorm van liefdadigheid. Een zieke heeft niks aan geld. Een andere manier van liefdadigheid is dat je het milieu niet vervuilt en zwerfafval </w:t>
      </w:r>
      <w:r w:rsidR="00F115FE">
        <w:rPr>
          <w:rFonts w:asciiTheme="majorBidi" w:hAnsiTheme="majorBidi" w:cstheme="majorBidi"/>
          <w:bCs/>
        </w:rPr>
        <w:t>op</w:t>
      </w:r>
      <w:r w:rsidR="00806EC7">
        <w:rPr>
          <w:rFonts w:asciiTheme="majorBidi" w:hAnsiTheme="majorBidi" w:cstheme="majorBidi"/>
          <w:bCs/>
        </w:rPr>
        <w:t>ruimt</w:t>
      </w:r>
      <w:r w:rsidR="003F58EE">
        <w:rPr>
          <w:rFonts w:asciiTheme="majorBidi" w:hAnsiTheme="majorBidi" w:cstheme="majorBidi"/>
          <w:bCs/>
        </w:rPr>
        <w:t>. H</w:t>
      </w:r>
      <w:r w:rsidR="00806EC7">
        <w:rPr>
          <w:rFonts w:asciiTheme="majorBidi" w:hAnsiTheme="majorBidi" w:cstheme="majorBidi"/>
          <w:bCs/>
        </w:rPr>
        <w:t>et geven van goede raad (</w:t>
      </w:r>
      <w:r w:rsidR="00806EC7">
        <w:rPr>
          <w:rFonts w:asciiTheme="majorBidi" w:hAnsiTheme="majorBidi" w:cstheme="majorBidi"/>
          <w:bCs/>
          <w:i/>
          <w:iCs/>
        </w:rPr>
        <w:t>naṣīḥa</w:t>
      </w:r>
      <w:r w:rsidR="00806EC7">
        <w:rPr>
          <w:rFonts w:asciiTheme="majorBidi" w:hAnsiTheme="majorBidi" w:cstheme="majorBidi"/>
          <w:bCs/>
        </w:rPr>
        <w:t>)</w:t>
      </w:r>
      <w:r w:rsidR="003F58EE">
        <w:rPr>
          <w:rFonts w:asciiTheme="majorBidi" w:hAnsiTheme="majorBidi" w:cstheme="majorBidi"/>
          <w:bCs/>
        </w:rPr>
        <w:t xml:space="preserve"> is ook liefdadigheid</w:t>
      </w:r>
      <w:r w:rsidR="00806EC7">
        <w:rPr>
          <w:rFonts w:asciiTheme="majorBidi" w:hAnsiTheme="majorBidi" w:cstheme="majorBidi"/>
          <w:bCs/>
        </w:rPr>
        <w:t xml:space="preserve">. </w:t>
      </w:r>
      <w:r w:rsidR="00B66371">
        <w:rPr>
          <w:rFonts w:asciiTheme="majorBidi" w:hAnsiTheme="majorBidi" w:cstheme="majorBidi"/>
          <w:bCs/>
        </w:rPr>
        <w:t xml:space="preserve">Dit kan al voldoende zijn om iemand uit een noodsituatie te redden. </w:t>
      </w:r>
    </w:p>
    <w:p w:rsidR="00172613" w:rsidRDefault="00172613" w:rsidP="002E720B">
      <w:pPr>
        <w:spacing w:line="276" w:lineRule="auto"/>
        <w:contextualSpacing/>
        <w:jc w:val="both"/>
        <w:rPr>
          <w:rFonts w:asciiTheme="majorBidi" w:hAnsiTheme="majorBidi" w:cstheme="majorBidi"/>
          <w:bCs/>
        </w:rPr>
      </w:pPr>
    </w:p>
    <w:p w:rsidR="00172613" w:rsidRDefault="00B66371" w:rsidP="002E720B">
      <w:pPr>
        <w:spacing w:line="276" w:lineRule="auto"/>
        <w:contextualSpacing/>
        <w:jc w:val="both"/>
        <w:rPr>
          <w:rFonts w:asciiTheme="majorBidi" w:hAnsiTheme="majorBidi" w:cstheme="majorBidi"/>
          <w:bCs/>
        </w:rPr>
      </w:pPr>
      <w:r>
        <w:rPr>
          <w:rFonts w:asciiTheme="majorBidi" w:hAnsiTheme="majorBidi" w:cstheme="majorBidi"/>
          <w:b/>
        </w:rPr>
        <w:t>Beste broeders!</w:t>
      </w:r>
    </w:p>
    <w:p w:rsidR="00176256" w:rsidRDefault="00336FBF" w:rsidP="00F115FE">
      <w:pPr>
        <w:spacing w:line="276" w:lineRule="auto"/>
        <w:contextualSpacing/>
        <w:jc w:val="both"/>
        <w:rPr>
          <w:rFonts w:asciiTheme="majorBidi" w:hAnsiTheme="majorBidi" w:cstheme="majorBidi"/>
          <w:bCs/>
        </w:rPr>
      </w:pPr>
      <w:r>
        <w:rPr>
          <w:rFonts w:asciiTheme="majorBidi" w:hAnsiTheme="majorBidi" w:cstheme="majorBidi"/>
          <w:bCs/>
        </w:rPr>
        <w:t xml:space="preserve">In een overlevering heeft de </w:t>
      </w:r>
      <w:r w:rsidR="003F58EE">
        <w:rPr>
          <w:rFonts w:asciiTheme="majorBidi" w:hAnsiTheme="majorBidi" w:cstheme="majorBidi"/>
          <w:bCs/>
        </w:rPr>
        <w:t>Profeet</w:t>
      </w:r>
      <w:r w:rsidR="002E720B">
        <w:rPr>
          <w:rFonts w:asciiTheme="majorBidi" w:hAnsiTheme="majorBidi" w:cstheme="majorBidi"/>
          <w:bCs/>
        </w:rPr>
        <w:t xml:space="preserve"> (vzmh) het volgende gezegd:</w:t>
      </w:r>
      <w:r w:rsidR="00B66371">
        <w:rPr>
          <w:rFonts w:asciiTheme="majorBidi" w:hAnsiTheme="majorBidi" w:cstheme="majorBidi"/>
          <w:bCs/>
        </w:rPr>
        <w:t xml:space="preserve"> </w:t>
      </w:r>
      <w:r w:rsidR="00B66371">
        <w:rPr>
          <w:rFonts w:asciiTheme="majorBidi" w:hAnsiTheme="majorBidi" w:cstheme="majorBidi"/>
          <w:b/>
        </w:rPr>
        <w:t>‘Al het goede valt onder liefdadigheid (</w:t>
      </w:r>
      <w:r w:rsidR="00B66371">
        <w:rPr>
          <w:rFonts w:asciiTheme="majorBidi" w:hAnsiTheme="majorBidi" w:cstheme="majorBidi"/>
          <w:b/>
          <w:i/>
          <w:iCs/>
        </w:rPr>
        <w:t>ṣadaqa</w:t>
      </w:r>
      <w:r w:rsidR="00B66371">
        <w:rPr>
          <w:rFonts w:asciiTheme="majorBidi" w:hAnsiTheme="majorBidi" w:cstheme="majorBidi"/>
          <w:b/>
        </w:rPr>
        <w:t>).’</w:t>
      </w:r>
      <w:r w:rsidR="00B66371">
        <w:rPr>
          <w:rStyle w:val="Voetnootmarkering"/>
          <w:rFonts w:asciiTheme="majorBidi" w:hAnsiTheme="majorBidi" w:cstheme="majorBidi"/>
          <w:b/>
        </w:rPr>
        <w:footnoteReference w:id="2"/>
      </w:r>
      <w:r w:rsidR="00B66371">
        <w:rPr>
          <w:rFonts w:asciiTheme="majorBidi" w:hAnsiTheme="majorBidi" w:cstheme="majorBidi"/>
          <w:b/>
        </w:rPr>
        <w:t xml:space="preserve"> </w:t>
      </w:r>
      <w:r w:rsidR="00B66371">
        <w:rPr>
          <w:rFonts w:asciiTheme="majorBidi" w:hAnsiTheme="majorBidi" w:cstheme="majorBidi"/>
          <w:bCs/>
        </w:rPr>
        <w:t xml:space="preserve">Hieruit blijkt dat liefdadigheid een breed scala aan mogelijkheden biedt om je menslievendheid te </w:t>
      </w:r>
      <w:r w:rsidR="00F115FE">
        <w:rPr>
          <w:rFonts w:asciiTheme="majorBidi" w:hAnsiTheme="majorBidi" w:cstheme="majorBidi"/>
          <w:bCs/>
        </w:rPr>
        <w:t>tonen</w:t>
      </w:r>
      <w:r w:rsidR="00B66371">
        <w:rPr>
          <w:rFonts w:asciiTheme="majorBidi" w:hAnsiTheme="majorBidi" w:cstheme="majorBidi"/>
          <w:bCs/>
        </w:rPr>
        <w:t>. Hiermee bouw je een goede basis voor jouw</w:t>
      </w:r>
      <w:r w:rsidR="00F115FE">
        <w:rPr>
          <w:rFonts w:asciiTheme="majorBidi" w:hAnsiTheme="majorBidi" w:cstheme="majorBidi"/>
          <w:bCs/>
        </w:rPr>
        <w:t xml:space="preserve"> eeuwige</w:t>
      </w:r>
      <w:r w:rsidR="00B66371">
        <w:rPr>
          <w:rFonts w:asciiTheme="majorBidi" w:hAnsiTheme="majorBidi" w:cstheme="majorBidi"/>
          <w:bCs/>
        </w:rPr>
        <w:t xml:space="preserve"> leven in het Hiernamaals. De Profeet heeft gezegd dat liefdadigheid het bezit niet aantast.</w:t>
      </w:r>
      <w:r w:rsidR="00B66371">
        <w:rPr>
          <w:rStyle w:val="Voetnootmarkering"/>
          <w:rFonts w:asciiTheme="majorBidi" w:hAnsiTheme="majorBidi" w:cstheme="majorBidi"/>
          <w:bCs/>
        </w:rPr>
        <w:footnoteReference w:id="3"/>
      </w:r>
      <w:r w:rsidR="00B66371">
        <w:rPr>
          <w:rFonts w:asciiTheme="majorBidi" w:hAnsiTheme="majorBidi" w:cstheme="majorBidi"/>
          <w:bCs/>
        </w:rPr>
        <w:t xml:space="preserve"> Integendeel, liefdadigheid verruimt juist jouw bezittingen en zorgt voor overvloedige beloningen van Allah. </w:t>
      </w:r>
      <w:proofErr w:type="gramStart"/>
      <w:r w:rsidR="006F0867">
        <w:rPr>
          <w:rFonts w:asciiTheme="majorBidi" w:hAnsiTheme="majorBidi" w:cstheme="majorBidi"/>
          <w:bCs/>
        </w:rPr>
        <w:t>De Profeet zei eens het volgende over een metgezel (</w:t>
      </w:r>
      <w:r w:rsidR="006F0867">
        <w:rPr>
          <w:rFonts w:asciiTheme="majorBidi" w:hAnsiTheme="majorBidi" w:cstheme="majorBidi"/>
          <w:bCs/>
          <w:i/>
          <w:iCs/>
        </w:rPr>
        <w:t>ṣaḥābī</w:t>
      </w:r>
      <w:r w:rsidR="006F0867">
        <w:rPr>
          <w:rFonts w:asciiTheme="majorBidi" w:hAnsiTheme="majorBidi" w:cstheme="majorBidi"/>
          <w:bCs/>
        </w:rPr>
        <w:t>) die zijn kameel (met een halsriem eromheen) toe ging wijden op het pad van Allah: ‘</w:t>
      </w:r>
      <w:r w:rsidR="006F0867">
        <w:rPr>
          <w:rFonts w:asciiTheme="majorBidi" w:hAnsiTheme="majorBidi" w:cstheme="majorBidi"/>
          <w:b/>
        </w:rPr>
        <w:t>Allah beloont [deze persoon] op de Dag der Opstanding alsof hij 700 kamelen met halsriemen eromheen heeft toegewijd.’</w:t>
      </w:r>
      <w:proofErr w:type="gramEnd"/>
      <w:r w:rsidR="006F0867">
        <w:rPr>
          <w:rStyle w:val="Voetnootmarkering"/>
          <w:rFonts w:asciiTheme="majorBidi" w:hAnsiTheme="majorBidi" w:cstheme="majorBidi"/>
          <w:b/>
        </w:rPr>
        <w:footnoteReference w:id="4"/>
      </w:r>
      <w:r w:rsidR="00CC46B4">
        <w:rPr>
          <w:rFonts w:asciiTheme="majorBidi" w:hAnsiTheme="majorBidi" w:cstheme="majorBidi"/>
          <w:b/>
        </w:rPr>
        <w:t xml:space="preserve"> </w:t>
      </w:r>
      <w:r w:rsidR="00CC46B4">
        <w:rPr>
          <w:rFonts w:asciiTheme="majorBidi" w:hAnsiTheme="majorBidi" w:cstheme="majorBidi"/>
          <w:bCs/>
        </w:rPr>
        <w:t xml:space="preserve">Ook wees de Profeet erop </w:t>
      </w:r>
      <w:r w:rsidR="00CC46B4">
        <w:rPr>
          <w:rFonts w:asciiTheme="majorBidi" w:hAnsiTheme="majorBidi" w:cstheme="majorBidi"/>
          <w:bCs/>
        </w:rPr>
        <w:t>dat liefdadigheden omgezet worden naar beloningen en geen enkele vorm van liefdadigheid onbeantwoord blij</w:t>
      </w:r>
      <w:r w:rsidR="003F58EE">
        <w:rPr>
          <w:rFonts w:asciiTheme="majorBidi" w:hAnsiTheme="majorBidi" w:cstheme="majorBidi"/>
          <w:bCs/>
        </w:rPr>
        <w:t>ft</w:t>
      </w:r>
      <w:r w:rsidR="00CC46B4">
        <w:rPr>
          <w:rFonts w:asciiTheme="majorBidi" w:hAnsiTheme="majorBidi" w:cstheme="majorBidi"/>
          <w:bCs/>
        </w:rPr>
        <w:t>. Hij zei dat één van de poorten die geopend gaat worden voor degenen die in het Paradijs (</w:t>
      </w:r>
      <w:r w:rsidR="00CC46B4">
        <w:rPr>
          <w:rFonts w:asciiTheme="majorBidi" w:hAnsiTheme="majorBidi" w:cstheme="majorBidi"/>
          <w:bCs/>
          <w:i/>
          <w:iCs/>
        </w:rPr>
        <w:t>Janna</w:t>
      </w:r>
      <w:r w:rsidR="00CC46B4">
        <w:rPr>
          <w:rFonts w:asciiTheme="majorBidi" w:hAnsiTheme="majorBidi" w:cstheme="majorBidi"/>
          <w:bCs/>
        </w:rPr>
        <w:t xml:space="preserve">) geloven, </w:t>
      </w:r>
      <w:r w:rsidR="003F58EE">
        <w:rPr>
          <w:rFonts w:asciiTheme="majorBidi" w:hAnsiTheme="majorBidi" w:cstheme="majorBidi"/>
          <w:bCs/>
        </w:rPr>
        <w:t>de</w:t>
      </w:r>
      <w:r w:rsidR="00CC46B4">
        <w:rPr>
          <w:rFonts w:asciiTheme="majorBidi" w:hAnsiTheme="majorBidi" w:cstheme="majorBidi"/>
          <w:bCs/>
        </w:rPr>
        <w:t xml:space="preserve"> “Poort van Liefdadigheid (</w:t>
      </w:r>
      <w:r w:rsidR="00CC46B4">
        <w:rPr>
          <w:rFonts w:asciiTheme="majorBidi" w:hAnsiTheme="majorBidi" w:cstheme="majorBidi"/>
          <w:bCs/>
          <w:i/>
          <w:iCs/>
        </w:rPr>
        <w:t>ṣadaqa</w:t>
      </w:r>
      <w:r w:rsidR="00CC46B4">
        <w:rPr>
          <w:rFonts w:asciiTheme="majorBidi" w:hAnsiTheme="majorBidi" w:cstheme="majorBidi"/>
          <w:bCs/>
        </w:rPr>
        <w:t>)” heet.</w:t>
      </w:r>
      <w:r w:rsidR="00CC46B4">
        <w:rPr>
          <w:rStyle w:val="Voetnootmarkering"/>
          <w:rFonts w:asciiTheme="majorBidi" w:hAnsiTheme="majorBidi" w:cstheme="majorBidi"/>
          <w:bCs/>
        </w:rPr>
        <w:footnoteReference w:id="5"/>
      </w:r>
      <w:r w:rsidR="00CC46B4">
        <w:rPr>
          <w:rFonts w:asciiTheme="majorBidi" w:hAnsiTheme="majorBidi" w:cstheme="majorBidi"/>
          <w:bCs/>
        </w:rPr>
        <w:t xml:space="preserve"> De Profeet adviseerde een metgezel (</w:t>
      </w:r>
      <w:r w:rsidR="00CC46B4">
        <w:rPr>
          <w:rFonts w:asciiTheme="majorBidi" w:hAnsiTheme="majorBidi" w:cstheme="majorBidi"/>
          <w:bCs/>
          <w:i/>
          <w:iCs/>
        </w:rPr>
        <w:t>ṣaḥābī</w:t>
      </w:r>
      <w:r w:rsidR="00CC46B4">
        <w:rPr>
          <w:rFonts w:asciiTheme="majorBidi" w:hAnsiTheme="majorBidi" w:cstheme="majorBidi"/>
          <w:bCs/>
        </w:rPr>
        <w:t xml:space="preserve">) die klaagde over </w:t>
      </w:r>
      <w:r w:rsidR="00690C94">
        <w:rPr>
          <w:rFonts w:asciiTheme="majorBidi" w:hAnsiTheme="majorBidi" w:cstheme="majorBidi"/>
          <w:bCs/>
        </w:rPr>
        <w:t xml:space="preserve">hardvochtigheid om </w:t>
      </w:r>
      <w:r w:rsidR="00524162">
        <w:rPr>
          <w:rFonts w:asciiTheme="majorBidi" w:hAnsiTheme="majorBidi" w:cstheme="majorBidi"/>
          <w:bCs/>
        </w:rPr>
        <w:t>– als liefdadigheid – behoeftigen te voeden en weeskinderen over hun bol te aaien.</w:t>
      </w:r>
      <w:r w:rsidR="00524162">
        <w:rPr>
          <w:rStyle w:val="Voetnootmarkering"/>
          <w:rFonts w:asciiTheme="majorBidi" w:hAnsiTheme="majorBidi" w:cstheme="majorBidi"/>
          <w:bCs/>
        </w:rPr>
        <w:footnoteReference w:id="6"/>
      </w:r>
      <w:r w:rsidR="00524162">
        <w:rPr>
          <w:rFonts w:asciiTheme="majorBidi" w:hAnsiTheme="majorBidi" w:cstheme="majorBidi"/>
          <w:bCs/>
        </w:rPr>
        <w:t xml:space="preserve"> Hiermee wees de Profeet op de werking van liefdadigheid op het innerlijk van mensen.</w:t>
      </w:r>
    </w:p>
    <w:p w:rsidR="00524162" w:rsidRDefault="00524162" w:rsidP="00524162">
      <w:pPr>
        <w:spacing w:line="276" w:lineRule="auto"/>
        <w:contextualSpacing/>
        <w:jc w:val="both"/>
        <w:rPr>
          <w:rFonts w:asciiTheme="majorBidi" w:hAnsiTheme="majorBidi" w:cstheme="majorBidi"/>
          <w:bCs/>
        </w:rPr>
      </w:pPr>
    </w:p>
    <w:p w:rsidR="00524162" w:rsidRPr="00CA2F82" w:rsidRDefault="00524162" w:rsidP="00F115FE">
      <w:pPr>
        <w:spacing w:line="276" w:lineRule="auto"/>
        <w:contextualSpacing/>
        <w:jc w:val="both"/>
        <w:rPr>
          <w:rFonts w:asciiTheme="majorBidi" w:hAnsiTheme="majorBidi" w:cstheme="majorBidi"/>
          <w:bCs/>
        </w:rPr>
      </w:pPr>
      <w:proofErr w:type="gramStart"/>
      <w:r>
        <w:rPr>
          <w:rFonts w:asciiTheme="majorBidi" w:hAnsiTheme="majorBidi" w:cstheme="majorBidi"/>
          <w:bCs/>
        </w:rPr>
        <w:t>Toen de Profeet (vzmh) eens sprak over de Hel (</w:t>
      </w:r>
      <w:r>
        <w:rPr>
          <w:rFonts w:asciiTheme="majorBidi" w:hAnsiTheme="majorBidi" w:cstheme="majorBidi"/>
          <w:bCs/>
          <w:i/>
          <w:iCs/>
        </w:rPr>
        <w:t>Jahannam</w:t>
      </w:r>
      <w:r>
        <w:rPr>
          <w:rFonts w:asciiTheme="majorBidi" w:hAnsiTheme="majorBidi" w:cstheme="majorBidi"/>
          <w:bCs/>
        </w:rPr>
        <w:t xml:space="preserve">), zocht hij zijn toevlucht bij Allah en draaide hij driemaal met zijn gezicht. </w:t>
      </w:r>
      <w:proofErr w:type="gramEnd"/>
      <w:r w:rsidR="003619F6">
        <w:rPr>
          <w:rFonts w:asciiTheme="majorBidi" w:hAnsiTheme="majorBidi" w:cstheme="majorBidi"/>
          <w:bCs/>
        </w:rPr>
        <w:t xml:space="preserve">Vervolgens zei hij: </w:t>
      </w:r>
      <w:r w:rsidR="003619F6">
        <w:rPr>
          <w:rFonts w:asciiTheme="majorBidi" w:hAnsiTheme="majorBidi" w:cstheme="majorBidi"/>
          <w:b/>
        </w:rPr>
        <w:t xml:space="preserve">‘Bescherm jezelf tegen de Hel, al is het met [het afstaan van] een halve dadel. Als je </w:t>
      </w:r>
      <w:r w:rsidR="00F115FE">
        <w:rPr>
          <w:rFonts w:asciiTheme="majorBidi" w:hAnsiTheme="majorBidi" w:cstheme="majorBidi"/>
          <w:b/>
        </w:rPr>
        <w:t>die</w:t>
      </w:r>
      <w:r w:rsidR="003619F6">
        <w:rPr>
          <w:rFonts w:asciiTheme="majorBidi" w:hAnsiTheme="majorBidi" w:cstheme="majorBidi"/>
          <w:b/>
        </w:rPr>
        <w:t xml:space="preserve"> niet kunt vinden, [bescherm jezelf] dan met mooie woorden.’</w:t>
      </w:r>
      <w:r w:rsidR="003619F6">
        <w:rPr>
          <w:rStyle w:val="Voetnootmarkering"/>
          <w:rFonts w:asciiTheme="majorBidi" w:hAnsiTheme="majorBidi" w:cstheme="majorBidi"/>
          <w:b/>
        </w:rPr>
        <w:footnoteReference w:id="7"/>
      </w:r>
      <w:r w:rsidR="003619F6">
        <w:rPr>
          <w:rFonts w:asciiTheme="majorBidi" w:hAnsiTheme="majorBidi" w:cstheme="majorBidi"/>
          <w:bCs/>
        </w:rPr>
        <w:t xml:space="preserve"> Hiermee geeft de Profeet aan dat liefdadigheid géén grenzen kent. Verder is liefdadigheid een teken van dankbaarheid: voor de verruiming van goddelijke gunsten (</w:t>
      </w:r>
      <w:proofErr w:type="gramStart"/>
      <w:r w:rsidR="003619F6">
        <w:rPr>
          <w:rFonts w:asciiTheme="majorBidi" w:hAnsiTheme="majorBidi" w:cstheme="majorBidi"/>
          <w:bCs/>
          <w:i/>
          <w:iCs/>
        </w:rPr>
        <w:t>ni</w:t>
      </w:r>
      <w:proofErr w:type="gramEnd"/>
      <w:r w:rsidR="003619F6">
        <w:rPr>
          <w:rFonts w:asciiTheme="majorBidi" w:hAnsiTheme="majorBidi" w:cstheme="majorBidi"/>
          <w:bCs/>
          <w:i/>
          <w:iCs/>
        </w:rPr>
        <w:t>ʿma</w:t>
      </w:r>
      <w:r w:rsidR="003619F6">
        <w:rPr>
          <w:rFonts w:asciiTheme="majorBidi" w:hAnsiTheme="majorBidi" w:cstheme="majorBidi"/>
          <w:bCs/>
        </w:rPr>
        <w:t xml:space="preserve">) dien je gul te zijn richting de mensen. </w:t>
      </w:r>
      <w:r w:rsidR="002C7591">
        <w:rPr>
          <w:rFonts w:asciiTheme="majorBidi" w:hAnsiTheme="majorBidi" w:cstheme="majorBidi"/>
          <w:bCs/>
        </w:rPr>
        <w:t xml:space="preserve">Allah merkt namelijk het volgende op: </w:t>
      </w:r>
      <w:r w:rsidR="002C7591">
        <w:rPr>
          <w:rFonts w:asciiTheme="majorBidi" w:hAnsiTheme="majorBidi" w:cstheme="majorBidi"/>
          <w:b/>
        </w:rPr>
        <w:t>‘</w:t>
      </w:r>
      <w:r w:rsidR="00CA2F82">
        <w:rPr>
          <w:rFonts w:asciiTheme="majorBidi" w:hAnsiTheme="majorBidi" w:cstheme="majorBidi"/>
          <w:b/>
        </w:rPr>
        <w:t>Doe het goede, zoals Allah ook voor jou het goede heeft gedaan.’</w:t>
      </w:r>
      <w:r w:rsidR="00CA2F82">
        <w:rPr>
          <w:rStyle w:val="Voetnootmarkering"/>
          <w:rFonts w:asciiTheme="majorBidi" w:hAnsiTheme="majorBidi" w:cstheme="majorBidi"/>
          <w:b/>
        </w:rPr>
        <w:footnoteReference w:id="8"/>
      </w:r>
      <w:r w:rsidR="00CA2F82">
        <w:rPr>
          <w:rFonts w:asciiTheme="majorBidi" w:hAnsiTheme="majorBidi" w:cstheme="majorBidi"/>
          <w:b/>
        </w:rPr>
        <w:t xml:space="preserve"> </w:t>
      </w:r>
      <w:r w:rsidR="00CA2F82">
        <w:rPr>
          <w:rFonts w:asciiTheme="majorBidi" w:hAnsiTheme="majorBidi" w:cstheme="majorBidi"/>
          <w:bCs/>
        </w:rPr>
        <w:t>We moeten de gunsten (</w:t>
      </w:r>
      <w:proofErr w:type="gramStart"/>
      <w:r w:rsidR="00CA2F82">
        <w:rPr>
          <w:rFonts w:asciiTheme="majorBidi" w:hAnsiTheme="majorBidi" w:cstheme="majorBidi"/>
          <w:bCs/>
          <w:i/>
          <w:iCs/>
        </w:rPr>
        <w:t>ni</w:t>
      </w:r>
      <w:proofErr w:type="gramEnd"/>
      <w:r w:rsidR="00CA2F82">
        <w:rPr>
          <w:rFonts w:asciiTheme="majorBidi" w:hAnsiTheme="majorBidi" w:cstheme="majorBidi"/>
          <w:bCs/>
          <w:i/>
          <w:iCs/>
        </w:rPr>
        <w:t>ʿma</w:t>
      </w:r>
      <w:r w:rsidR="00CA2F82">
        <w:rPr>
          <w:rFonts w:asciiTheme="majorBidi" w:hAnsiTheme="majorBidi" w:cstheme="majorBidi"/>
          <w:bCs/>
        </w:rPr>
        <w:t xml:space="preserve">) die we van Allah krijgen niet alleen voor onszelf houden, maar ook delen met anderen. </w:t>
      </w:r>
    </w:p>
    <w:p w:rsidR="00524162" w:rsidRDefault="00524162" w:rsidP="00524162">
      <w:pPr>
        <w:spacing w:line="276" w:lineRule="auto"/>
        <w:contextualSpacing/>
        <w:jc w:val="both"/>
        <w:rPr>
          <w:rFonts w:asciiTheme="majorBidi" w:hAnsiTheme="majorBidi" w:cstheme="majorBidi"/>
          <w:bCs/>
        </w:rPr>
      </w:pPr>
    </w:p>
    <w:p w:rsidR="00524162" w:rsidRDefault="00CA2F82" w:rsidP="00524162">
      <w:pPr>
        <w:spacing w:line="276" w:lineRule="auto"/>
        <w:contextualSpacing/>
        <w:jc w:val="both"/>
        <w:rPr>
          <w:rFonts w:asciiTheme="majorBidi" w:hAnsiTheme="majorBidi" w:cstheme="majorBidi"/>
          <w:bCs/>
        </w:rPr>
      </w:pPr>
      <w:r>
        <w:rPr>
          <w:rFonts w:asciiTheme="majorBidi" w:hAnsiTheme="majorBidi" w:cstheme="majorBidi"/>
          <w:b/>
        </w:rPr>
        <w:t>Beste broeders!</w:t>
      </w:r>
    </w:p>
    <w:p w:rsidR="00AE5697" w:rsidRPr="00AE5697" w:rsidRDefault="00CA2F82" w:rsidP="00F115FE">
      <w:pPr>
        <w:spacing w:line="276" w:lineRule="auto"/>
        <w:contextualSpacing/>
        <w:jc w:val="both"/>
        <w:rPr>
          <w:rFonts w:asciiTheme="majorBidi" w:hAnsiTheme="majorBidi" w:cstheme="majorBidi"/>
          <w:b/>
        </w:rPr>
      </w:pPr>
      <w:r>
        <w:rPr>
          <w:rFonts w:asciiTheme="majorBidi" w:hAnsiTheme="majorBidi" w:cstheme="majorBidi"/>
          <w:bCs/>
        </w:rPr>
        <w:t xml:space="preserve">Als moslims is het onze taak om </w:t>
      </w:r>
      <w:proofErr w:type="gramStart"/>
      <w:r>
        <w:rPr>
          <w:rFonts w:asciiTheme="majorBidi" w:hAnsiTheme="majorBidi" w:cstheme="majorBidi"/>
          <w:bCs/>
        </w:rPr>
        <w:t>behoeftige</w:t>
      </w:r>
      <w:proofErr w:type="gramEnd"/>
      <w:r>
        <w:rPr>
          <w:rFonts w:asciiTheme="majorBidi" w:hAnsiTheme="majorBidi" w:cstheme="majorBidi"/>
          <w:bCs/>
        </w:rPr>
        <w:t xml:space="preserve"> mensen in de Nederlandse samenleving te helpen. Dit moeten we doen door armenbelasting (</w:t>
      </w:r>
      <w:r>
        <w:rPr>
          <w:rFonts w:asciiTheme="majorBidi" w:hAnsiTheme="majorBidi" w:cstheme="majorBidi"/>
          <w:bCs/>
          <w:i/>
          <w:iCs/>
        </w:rPr>
        <w:t>zakāt</w:t>
      </w:r>
      <w:r>
        <w:rPr>
          <w:rFonts w:asciiTheme="majorBidi" w:hAnsiTheme="majorBidi" w:cstheme="majorBidi"/>
          <w:bCs/>
        </w:rPr>
        <w:t>) af te dragen aan moslims en door aalmoezen (</w:t>
      </w:r>
      <w:r>
        <w:rPr>
          <w:rFonts w:asciiTheme="majorBidi" w:hAnsiTheme="majorBidi" w:cstheme="majorBidi"/>
          <w:bCs/>
          <w:i/>
          <w:iCs/>
        </w:rPr>
        <w:t>ṣadaqa</w:t>
      </w:r>
      <w:r>
        <w:rPr>
          <w:rFonts w:asciiTheme="majorBidi" w:hAnsiTheme="majorBidi" w:cstheme="majorBidi"/>
          <w:bCs/>
        </w:rPr>
        <w:t xml:space="preserve">) af te dragen aan zowel moslims als aan niet-moslims. </w:t>
      </w:r>
      <w:r w:rsidR="00C36131">
        <w:rPr>
          <w:rFonts w:asciiTheme="majorBidi" w:hAnsiTheme="majorBidi" w:cstheme="majorBidi"/>
          <w:bCs/>
        </w:rPr>
        <w:t>Om deze plicht te kunnen verwezenlijken, heeft de Is</w:t>
      </w:r>
      <w:r w:rsidR="00AE5697">
        <w:rPr>
          <w:rFonts w:asciiTheme="majorBidi" w:hAnsiTheme="majorBidi" w:cstheme="majorBidi"/>
          <w:bCs/>
        </w:rPr>
        <w:t xml:space="preserve">lamitische Stichting Nederland </w:t>
      </w:r>
      <w:r w:rsidR="00C36131">
        <w:rPr>
          <w:rFonts w:asciiTheme="majorBidi" w:hAnsiTheme="majorBidi" w:cstheme="majorBidi"/>
          <w:bCs/>
        </w:rPr>
        <w:t xml:space="preserve">een fonds opgezet om binnengekomen donaties af te staan aan </w:t>
      </w:r>
      <w:proofErr w:type="gramStart"/>
      <w:r w:rsidR="00C36131">
        <w:rPr>
          <w:rFonts w:asciiTheme="majorBidi" w:hAnsiTheme="majorBidi" w:cstheme="majorBidi"/>
          <w:bCs/>
        </w:rPr>
        <w:t>behoeftige</w:t>
      </w:r>
      <w:proofErr w:type="gramEnd"/>
      <w:r w:rsidR="00C36131">
        <w:rPr>
          <w:rFonts w:asciiTheme="majorBidi" w:hAnsiTheme="majorBidi" w:cstheme="majorBidi"/>
          <w:bCs/>
        </w:rPr>
        <w:t xml:space="preserve"> gezinnen en aan studerende jongeren. Voor meer informatie kunt u terecht bij onze imams en bij ons </w:t>
      </w:r>
      <w:r w:rsidR="00C36131" w:rsidRPr="00AE5697">
        <w:rPr>
          <w:rFonts w:asciiTheme="majorBidi" w:hAnsiTheme="majorBidi" w:cstheme="majorBidi"/>
          <w:bCs/>
        </w:rPr>
        <w:t xml:space="preserve">hoofdkwartier </w:t>
      </w:r>
      <w:r w:rsidR="00F115FE">
        <w:rPr>
          <w:rFonts w:asciiTheme="majorBidi" w:hAnsiTheme="majorBidi" w:cstheme="majorBidi"/>
          <w:bCs/>
        </w:rPr>
        <w:t>in</w:t>
      </w:r>
      <w:r w:rsidR="00C36131" w:rsidRPr="00AE5697">
        <w:rPr>
          <w:rFonts w:asciiTheme="majorBidi" w:hAnsiTheme="majorBidi" w:cstheme="majorBidi"/>
          <w:bCs/>
        </w:rPr>
        <w:t xml:space="preserve"> Den Haag. Ik smeek mijn Heer om ons vreedzaam te doen samenleven en </w:t>
      </w:r>
      <w:r w:rsidR="00AE5697" w:rsidRPr="00AE5697">
        <w:rPr>
          <w:rFonts w:asciiTheme="majorBidi" w:hAnsiTheme="majorBidi" w:cstheme="majorBidi"/>
          <w:bCs/>
        </w:rPr>
        <w:t>ons gul te laten worden in onze liefdadigheden. Ik sluit af met een Qurʾān-vers</w:t>
      </w:r>
      <w:proofErr w:type="gramStart"/>
      <w:r w:rsidR="00AE5697" w:rsidRPr="00AE5697">
        <w:rPr>
          <w:rFonts w:asciiTheme="majorBidi" w:hAnsiTheme="majorBidi" w:cstheme="majorBidi"/>
          <w:bCs/>
        </w:rPr>
        <w:t>:</w:t>
      </w:r>
      <w:proofErr w:type="gramEnd"/>
      <w:r w:rsidR="00AE5697" w:rsidRPr="00AE5697">
        <w:rPr>
          <w:rFonts w:asciiTheme="majorBidi" w:hAnsiTheme="majorBidi" w:cstheme="majorBidi"/>
          <w:bCs/>
        </w:rPr>
        <w:t xml:space="preserve">  </w:t>
      </w:r>
      <w:r w:rsidR="00AE5697" w:rsidRPr="00E149E1">
        <w:rPr>
          <w:rFonts w:ascii="Times New Roman" w:hAnsi="Times New Roman" w:cs="Times New Roman"/>
          <w:b/>
          <w:color w:val="000000" w:themeColor="text1"/>
          <w:rtl/>
          <w:lang w:val="tr-TR"/>
        </w:rPr>
        <w:t>وَمَنْ يَعْمَلْ مِثْقَالَ ذَرَّةٍ شَراًّ يَرَهُ ﴿٨﴾</w:t>
      </w:r>
      <w:r w:rsidR="00AE5697" w:rsidRPr="00E149E1">
        <w:rPr>
          <w:rFonts w:ascii="Times New Roman" w:hAnsi="Times New Roman" w:cs="Times New Roman"/>
          <w:b/>
          <w:color w:val="000000" w:themeColor="text1"/>
          <w:lang w:val="tr-TR"/>
        </w:rPr>
        <w:t xml:space="preserve"> </w:t>
      </w:r>
      <w:r w:rsidR="00AE5697" w:rsidRPr="00E149E1">
        <w:rPr>
          <w:rFonts w:ascii="Times New Roman" w:hAnsi="Times New Roman" w:cs="Times New Roman"/>
          <w:b/>
          <w:iCs/>
          <w:color w:val="000000" w:themeColor="text1"/>
          <w:lang w:val="tr-TR"/>
        </w:rPr>
        <w:t xml:space="preserve"> </w:t>
      </w:r>
      <w:r w:rsidR="00AE5697" w:rsidRPr="00E149E1">
        <w:rPr>
          <w:rFonts w:ascii="Times New Roman" w:hAnsi="Times New Roman" w:cs="Times New Roman"/>
          <w:b/>
          <w:i/>
          <w:color w:val="000000" w:themeColor="text1"/>
          <w:rtl/>
          <w:lang w:val="tr-TR"/>
        </w:rPr>
        <w:t xml:space="preserve">فَمَنْ يَعْمَلْ مِثْقَالَ ذَرَّةٍ خَيْراً </w:t>
      </w:r>
      <w:proofErr w:type="spellStart"/>
      <w:r w:rsidR="00AE5697" w:rsidRPr="00E149E1">
        <w:rPr>
          <w:rFonts w:ascii="Times New Roman" w:hAnsi="Times New Roman" w:cs="Times New Roman"/>
          <w:b/>
          <w:i/>
          <w:color w:val="000000" w:themeColor="text1"/>
          <w:rtl/>
          <w:lang w:val="tr-TR"/>
        </w:rPr>
        <w:t>يَرَهُۜ</w:t>
      </w:r>
      <w:proofErr w:type="spellEnd"/>
      <w:r w:rsidR="00AE5697" w:rsidRPr="00E149E1">
        <w:rPr>
          <w:rFonts w:ascii="Times New Roman" w:hAnsi="Times New Roman" w:cs="Times New Roman"/>
          <w:b/>
          <w:i/>
          <w:color w:val="000000" w:themeColor="text1"/>
          <w:rtl/>
          <w:lang w:val="tr-TR"/>
        </w:rPr>
        <w:t xml:space="preserve"> ﴿٧﴾</w:t>
      </w:r>
      <w:r w:rsidR="00AE5697" w:rsidRPr="00E149E1">
        <w:rPr>
          <w:rFonts w:asciiTheme="majorBidi" w:hAnsiTheme="majorBidi" w:cstheme="majorBidi"/>
          <w:b/>
        </w:rPr>
        <w:t xml:space="preserve">, </w:t>
      </w:r>
      <w:r w:rsidR="00AE5697" w:rsidRPr="00AE5697">
        <w:rPr>
          <w:rFonts w:asciiTheme="majorBidi" w:hAnsiTheme="majorBidi" w:cstheme="majorBidi"/>
          <w:bCs/>
        </w:rPr>
        <w:t>oftewel</w:t>
      </w:r>
      <w:r w:rsidR="00AE5697">
        <w:rPr>
          <w:rFonts w:asciiTheme="majorBidi" w:hAnsiTheme="majorBidi" w:cstheme="majorBidi"/>
          <w:bCs/>
        </w:rPr>
        <w:t xml:space="preserve">: </w:t>
      </w:r>
      <w:r w:rsidR="00AE5697">
        <w:rPr>
          <w:rFonts w:asciiTheme="majorBidi" w:hAnsiTheme="majorBidi" w:cstheme="majorBidi"/>
          <w:b/>
        </w:rPr>
        <w:t xml:space="preserve">‘Wie ter grootte van een atoom </w:t>
      </w:r>
      <w:r w:rsidR="00E149E1">
        <w:rPr>
          <w:rFonts w:asciiTheme="majorBidi" w:hAnsiTheme="majorBidi" w:cstheme="majorBidi"/>
          <w:b/>
        </w:rPr>
        <w:t xml:space="preserve">iets </w:t>
      </w:r>
      <w:r w:rsidR="00AE5697">
        <w:rPr>
          <w:rFonts w:asciiTheme="majorBidi" w:hAnsiTheme="majorBidi" w:cstheme="majorBidi"/>
          <w:b/>
        </w:rPr>
        <w:t>goed</w:t>
      </w:r>
      <w:r w:rsidR="00E149E1">
        <w:rPr>
          <w:rFonts w:asciiTheme="majorBidi" w:hAnsiTheme="majorBidi" w:cstheme="majorBidi"/>
          <w:b/>
        </w:rPr>
        <w:t>s</w:t>
      </w:r>
      <w:r w:rsidR="00AE5697">
        <w:rPr>
          <w:rFonts w:asciiTheme="majorBidi" w:hAnsiTheme="majorBidi" w:cstheme="majorBidi"/>
          <w:b/>
        </w:rPr>
        <w:t xml:space="preserve"> heeft gedaan</w:t>
      </w:r>
      <w:r w:rsidR="00F115FE">
        <w:rPr>
          <w:rFonts w:asciiTheme="majorBidi" w:hAnsiTheme="majorBidi" w:cstheme="majorBidi"/>
          <w:b/>
        </w:rPr>
        <w:t>,</w:t>
      </w:r>
      <w:bookmarkStart w:id="0" w:name="_GoBack"/>
      <w:bookmarkEnd w:id="0"/>
      <w:r w:rsidR="00AE5697">
        <w:rPr>
          <w:rFonts w:asciiTheme="majorBidi" w:hAnsiTheme="majorBidi" w:cstheme="majorBidi"/>
          <w:b/>
        </w:rPr>
        <w:t xml:space="preserve"> zal dit zien. En wie ter grootte van een atoom </w:t>
      </w:r>
      <w:r w:rsidR="00E149E1">
        <w:rPr>
          <w:rFonts w:asciiTheme="majorBidi" w:hAnsiTheme="majorBidi" w:cstheme="majorBidi"/>
          <w:b/>
        </w:rPr>
        <w:t xml:space="preserve">iets </w:t>
      </w:r>
      <w:r w:rsidR="00AE5697">
        <w:rPr>
          <w:rFonts w:asciiTheme="majorBidi" w:hAnsiTheme="majorBidi" w:cstheme="majorBidi"/>
          <w:b/>
        </w:rPr>
        <w:t>kwaad</w:t>
      </w:r>
      <w:r w:rsidR="00E149E1">
        <w:rPr>
          <w:rFonts w:asciiTheme="majorBidi" w:hAnsiTheme="majorBidi" w:cstheme="majorBidi"/>
          <w:b/>
        </w:rPr>
        <w:t>s</w:t>
      </w:r>
      <w:r w:rsidR="00AE5697">
        <w:rPr>
          <w:rFonts w:asciiTheme="majorBidi" w:hAnsiTheme="majorBidi" w:cstheme="majorBidi"/>
          <w:b/>
        </w:rPr>
        <w:t xml:space="preserve"> heeft gedaan, zal dit zien.’</w:t>
      </w:r>
      <w:r w:rsidR="00AE5697">
        <w:rPr>
          <w:rStyle w:val="Voetnootmarkering"/>
          <w:rFonts w:asciiTheme="majorBidi" w:hAnsiTheme="majorBidi" w:cstheme="majorBidi"/>
          <w:b/>
        </w:rPr>
        <w:footnoteReference w:id="9"/>
      </w:r>
    </w:p>
    <w:p w:rsidR="00A27075" w:rsidRPr="00AE5697" w:rsidRDefault="00A27075"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3F58EE">
      <w:headerReference w:type="default" r:id="rId9"/>
      <w:pgSz w:w="11906" w:h="16838"/>
      <w:pgMar w:top="546" w:right="566" w:bottom="426"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05" w:rsidRDefault="007F7205" w:rsidP="009E60E2">
      <w:r>
        <w:separator/>
      </w:r>
    </w:p>
  </w:endnote>
  <w:endnote w:type="continuationSeparator" w:id="0">
    <w:p w:rsidR="007F7205" w:rsidRDefault="007F720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05" w:rsidRDefault="007F7205" w:rsidP="009E60E2">
      <w:r>
        <w:separator/>
      </w:r>
    </w:p>
  </w:footnote>
  <w:footnote w:type="continuationSeparator" w:id="0">
    <w:p w:rsidR="007F7205" w:rsidRDefault="007F7205" w:rsidP="009E60E2">
      <w:r>
        <w:continuationSeparator/>
      </w:r>
    </w:p>
  </w:footnote>
  <w:footnote w:id="1">
    <w:p w:rsidR="00336FBF" w:rsidRPr="003F58EE" w:rsidRDefault="00336FBF" w:rsidP="00172613">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w:t>
      </w:r>
      <w:r w:rsidR="0042437D" w:rsidRPr="003F58EE">
        <w:rPr>
          <w:rFonts w:asciiTheme="majorBidi" w:hAnsiTheme="majorBidi" w:cstheme="majorBidi"/>
        </w:rPr>
        <w:t>Al-</w:t>
      </w:r>
      <w:r w:rsidR="00172613" w:rsidRPr="003F58EE">
        <w:rPr>
          <w:rFonts w:asciiTheme="majorBidi" w:hAnsiTheme="majorBidi" w:cstheme="majorBidi"/>
        </w:rPr>
        <w:t>Layl</w:t>
      </w:r>
      <w:r w:rsidR="0042437D" w:rsidRPr="003F58EE">
        <w:rPr>
          <w:rFonts w:asciiTheme="majorBidi" w:hAnsiTheme="majorBidi" w:cstheme="majorBidi"/>
        </w:rPr>
        <w:t xml:space="preserve">, </w:t>
      </w:r>
      <w:r w:rsidR="00172613" w:rsidRPr="003F58EE">
        <w:rPr>
          <w:rFonts w:asciiTheme="majorBidi" w:hAnsiTheme="majorBidi" w:cstheme="majorBidi"/>
        </w:rPr>
        <w:t>92: 5-10</w:t>
      </w:r>
      <w:r w:rsidR="0042437D" w:rsidRPr="003F58EE">
        <w:rPr>
          <w:rFonts w:asciiTheme="majorBidi" w:hAnsiTheme="majorBidi" w:cstheme="majorBidi"/>
        </w:rPr>
        <w:t>.</w:t>
      </w:r>
    </w:p>
  </w:footnote>
  <w:footnote w:id="2">
    <w:p w:rsidR="00B66371" w:rsidRPr="003F58EE" w:rsidRDefault="00B66371">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Al-Bukhārī, Adab, 33.</w:t>
      </w:r>
    </w:p>
  </w:footnote>
  <w:footnote w:id="3">
    <w:p w:rsidR="00B66371" w:rsidRPr="003F58EE" w:rsidRDefault="00B66371">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Al-Muslim, Birr, 69.</w:t>
      </w:r>
    </w:p>
  </w:footnote>
  <w:footnote w:id="4">
    <w:p w:rsidR="006F0867" w:rsidRPr="003F58EE" w:rsidRDefault="006F0867" w:rsidP="006F0867">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Al-Nasāʾī, Jihād, 46.</w:t>
      </w:r>
    </w:p>
  </w:footnote>
  <w:footnote w:id="5">
    <w:p w:rsidR="00CC46B4" w:rsidRPr="003F58EE" w:rsidRDefault="00CC46B4">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Al-Muslim, Zakāt, 85.</w:t>
      </w:r>
    </w:p>
  </w:footnote>
  <w:footnote w:id="6">
    <w:p w:rsidR="00524162" w:rsidRPr="003F58EE" w:rsidRDefault="00524162">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Aḥmad ibn Ḥanbal, II, 264.</w:t>
      </w:r>
    </w:p>
  </w:footnote>
  <w:footnote w:id="7">
    <w:p w:rsidR="003619F6" w:rsidRPr="003F58EE" w:rsidRDefault="003619F6">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Al-Muslim, Zakāt, 68.</w:t>
      </w:r>
    </w:p>
  </w:footnote>
  <w:footnote w:id="8">
    <w:p w:rsidR="00CA2F82" w:rsidRPr="003F58EE" w:rsidRDefault="00CA2F82">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Al-Qaṣaṣ, 28: 77.</w:t>
      </w:r>
    </w:p>
  </w:footnote>
  <w:footnote w:id="9">
    <w:p w:rsidR="00AE5697" w:rsidRPr="003F58EE" w:rsidRDefault="00AE5697">
      <w:pPr>
        <w:pStyle w:val="Voetnoottekst"/>
        <w:rPr>
          <w:rFonts w:asciiTheme="majorBidi" w:hAnsiTheme="majorBidi" w:cstheme="majorBidi"/>
        </w:rPr>
      </w:pPr>
      <w:r w:rsidRPr="003F58EE">
        <w:rPr>
          <w:rStyle w:val="Voetnootmarkering"/>
          <w:rFonts w:asciiTheme="majorBidi" w:hAnsiTheme="majorBidi" w:cstheme="majorBidi"/>
        </w:rPr>
        <w:footnoteRef/>
      </w:r>
      <w:r w:rsidRPr="003F58EE">
        <w:rPr>
          <w:rFonts w:asciiTheme="majorBidi" w:hAnsiTheme="majorBidi" w:cstheme="majorBidi"/>
        </w:rPr>
        <w:t xml:space="preserve"> Al-</w:t>
      </w:r>
      <w:r w:rsidR="003F58EE" w:rsidRPr="003F58EE">
        <w:rPr>
          <w:rFonts w:asciiTheme="majorBidi" w:hAnsiTheme="majorBidi" w:cstheme="majorBidi"/>
        </w:rPr>
        <w:t>Zilzāl</w:t>
      </w:r>
      <w:r w:rsidRPr="003F58EE">
        <w:rPr>
          <w:rFonts w:asciiTheme="majorBidi" w:hAnsiTheme="majorBidi" w:cstheme="majorBidi"/>
        </w:rPr>
        <w:t>, 99: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0DB6"/>
    <w:rsid w:val="0001667D"/>
    <w:rsid w:val="00022C01"/>
    <w:rsid w:val="00024ABB"/>
    <w:rsid w:val="000268C1"/>
    <w:rsid w:val="0003103C"/>
    <w:rsid w:val="000334B6"/>
    <w:rsid w:val="00040A25"/>
    <w:rsid w:val="00041440"/>
    <w:rsid w:val="00044BEE"/>
    <w:rsid w:val="00047E04"/>
    <w:rsid w:val="00054805"/>
    <w:rsid w:val="000576E4"/>
    <w:rsid w:val="0007217B"/>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263EC"/>
    <w:rsid w:val="00133712"/>
    <w:rsid w:val="00140C9E"/>
    <w:rsid w:val="001452E9"/>
    <w:rsid w:val="00146EC8"/>
    <w:rsid w:val="0015607E"/>
    <w:rsid w:val="001568E8"/>
    <w:rsid w:val="00157680"/>
    <w:rsid w:val="00166B9E"/>
    <w:rsid w:val="00172041"/>
    <w:rsid w:val="00172613"/>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4F75"/>
    <w:rsid w:val="002274C5"/>
    <w:rsid w:val="00230CE1"/>
    <w:rsid w:val="00232573"/>
    <w:rsid w:val="002331CB"/>
    <w:rsid w:val="00233217"/>
    <w:rsid w:val="0023663F"/>
    <w:rsid w:val="00236A47"/>
    <w:rsid w:val="00237AFF"/>
    <w:rsid w:val="00243761"/>
    <w:rsid w:val="002600F8"/>
    <w:rsid w:val="002609C1"/>
    <w:rsid w:val="002620A5"/>
    <w:rsid w:val="00264FF3"/>
    <w:rsid w:val="00285A3E"/>
    <w:rsid w:val="00285CCD"/>
    <w:rsid w:val="00292E8C"/>
    <w:rsid w:val="002977D0"/>
    <w:rsid w:val="002A2E85"/>
    <w:rsid w:val="002A49BE"/>
    <w:rsid w:val="002B0218"/>
    <w:rsid w:val="002B1321"/>
    <w:rsid w:val="002B7C1F"/>
    <w:rsid w:val="002C4011"/>
    <w:rsid w:val="002C4159"/>
    <w:rsid w:val="002C4DFF"/>
    <w:rsid w:val="002C6A70"/>
    <w:rsid w:val="002C7591"/>
    <w:rsid w:val="002C7AA3"/>
    <w:rsid w:val="002D4402"/>
    <w:rsid w:val="002D48DA"/>
    <w:rsid w:val="002D6241"/>
    <w:rsid w:val="002D6DD8"/>
    <w:rsid w:val="002D74A0"/>
    <w:rsid w:val="002E51C9"/>
    <w:rsid w:val="002E5A0D"/>
    <w:rsid w:val="002E720B"/>
    <w:rsid w:val="002F117C"/>
    <w:rsid w:val="002F11DB"/>
    <w:rsid w:val="002F1ADE"/>
    <w:rsid w:val="002F603B"/>
    <w:rsid w:val="00301E43"/>
    <w:rsid w:val="0030655A"/>
    <w:rsid w:val="00312C7E"/>
    <w:rsid w:val="0031692E"/>
    <w:rsid w:val="00320027"/>
    <w:rsid w:val="003272B7"/>
    <w:rsid w:val="00327467"/>
    <w:rsid w:val="0033262D"/>
    <w:rsid w:val="00333C85"/>
    <w:rsid w:val="00336FBF"/>
    <w:rsid w:val="0033753F"/>
    <w:rsid w:val="00340D87"/>
    <w:rsid w:val="00342FB6"/>
    <w:rsid w:val="003517B2"/>
    <w:rsid w:val="00355084"/>
    <w:rsid w:val="003619F6"/>
    <w:rsid w:val="00361E32"/>
    <w:rsid w:val="003644BE"/>
    <w:rsid w:val="00365498"/>
    <w:rsid w:val="0037212A"/>
    <w:rsid w:val="00373AFE"/>
    <w:rsid w:val="0037407C"/>
    <w:rsid w:val="00374AAD"/>
    <w:rsid w:val="00380C4D"/>
    <w:rsid w:val="00384BEC"/>
    <w:rsid w:val="0038774B"/>
    <w:rsid w:val="00387869"/>
    <w:rsid w:val="00387D50"/>
    <w:rsid w:val="003971EF"/>
    <w:rsid w:val="003A2BCC"/>
    <w:rsid w:val="003A4E4A"/>
    <w:rsid w:val="003A53C1"/>
    <w:rsid w:val="003A6C92"/>
    <w:rsid w:val="003B014D"/>
    <w:rsid w:val="003B487A"/>
    <w:rsid w:val="003C2C5B"/>
    <w:rsid w:val="003C4135"/>
    <w:rsid w:val="003C6726"/>
    <w:rsid w:val="003D0476"/>
    <w:rsid w:val="003D32E2"/>
    <w:rsid w:val="003D6428"/>
    <w:rsid w:val="003D6DAB"/>
    <w:rsid w:val="003D7064"/>
    <w:rsid w:val="003D7A9A"/>
    <w:rsid w:val="003E31A0"/>
    <w:rsid w:val="003F1CA4"/>
    <w:rsid w:val="003F58EE"/>
    <w:rsid w:val="003F6534"/>
    <w:rsid w:val="003F7513"/>
    <w:rsid w:val="00404081"/>
    <w:rsid w:val="0040422A"/>
    <w:rsid w:val="0041004F"/>
    <w:rsid w:val="00420F4C"/>
    <w:rsid w:val="00421046"/>
    <w:rsid w:val="0042437D"/>
    <w:rsid w:val="00430FBA"/>
    <w:rsid w:val="00434D63"/>
    <w:rsid w:val="004426FE"/>
    <w:rsid w:val="00443B96"/>
    <w:rsid w:val="00445CEC"/>
    <w:rsid w:val="004539AB"/>
    <w:rsid w:val="004571FF"/>
    <w:rsid w:val="00476BF5"/>
    <w:rsid w:val="004804F1"/>
    <w:rsid w:val="0048252A"/>
    <w:rsid w:val="004827ED"/>
    <w:rsid w:val="004874BF"/>
    <w:rsid w:val="00487F6D"/>
    <w:rsid w:val="0049649B"/>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24162"/>
    <w:rsid w:val="00536E49"/>
    <w:rsid w:val="005379CF"/>
    <w:rsid w:val="005413EC"/>
    <w:rsid w:val="00544B07"/>
    <w:rsid w:val="00545770"/>
    <w:rsid w:val="00551470"/>
    <w:rsid w:val="005520CD"/>
    <w:rsid w:val="00564F1A"/>
    <w:rsid w:val="005708C8"/>
    <w:rsid w:val="00573360"/>
    <w:rsid w:val="00580CF1"/>
    <w:rsid w:val="005833C5"/>
    <w:rsid w:val="00584748"/>
    <w:rsid w:val="00586391"/>
    <w:rsid w:val="0059043B"/>
    <w:rsid w:val="00591ED1"/>
    <w:rsid w:val="005A2890"/>
    <w:rsid w:val="005A6E87"/>
    <w:rsid w:val="005B2B96"/>
    <w:rsid w:val="005C6046"/>
    <w:rsid w:val="005D40D6"/>
    <w:rsid w:val="005F39A9"/>
    <w:rsid w:val="00600B0B"/>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0C94"/>
    <w:rsid w:val="006970DD"/>
    <w:rsid w:val="00697BC1"/>
    <w:rsid w:val="006A06BE"/>
    <w:rsid w:val="006A265E"/>
    <w:rsid w:val="006B693A"/>
    <w:rsid w:val="006C13D6"/>
    <w:rsid w:val="006C27B5"/>
    <w:rsid w:val="006C27CD"/>
    <w:rsid w:val="006D48F0"/>
    <w:rsid w:val="006E1ECF"/>
    <w:rsid w:val="006E3E92"/>
    <w:rsid w:val="006E7791"/>
    <w:rsid w:val="006F0867"/>
    <w:rsid w:val="006F40CD"/>
    <w:rsid w:val="006F511F"/>
    <w:rsid w:val="007000B4"/>
    <w:rsid w:val="00703ECC"/>
    <w:rsid w:val="00706D0E"/>
    <w:rsid w:val="007101D7"/>
    <w:rsid w:val="0071731E"/>
    <w:rsid w:val="00731734"/>
    <w:rsid w:val="00756D58"/>
    <w:rsid w:val="0076082C"/>
    <w:rsid w:val="00764EE9"/>
    <w:rsid w:val="007717BA"/>
    <w:rsid w:val="0077411C"/>
    <w:rsid w:val="00774E12"/>
    <w:rsid w:val="007751F3"/>
    <w:rsid w:val="00775B2E"/>
    <w:rsid w:val="007851B5"/>
    <w:rsid w:val="00785B8B"/>
    <w:rsid w:val="0078753A"/>
    <w:rsid w:val="00791393"/>
    <w:rsid w:val="00791A68"/>
    <w:rsid w:val="007A128F"/>
    <w:rsid w:val="007A3BE1"/>
    <w:rsid w:val="007B6B0A"/>
    <w:rsid w:val="007C46E6"/>
    <w:rsid w:val="007D11A8"/>
    <w:rsid w:val="007D1206"/>
    <w:rsid w:val="007D1413"/>
    <w:rsid w:val="007D4BDA"/>
    <w:rsid w:val="007F0FCD"/>
    <w:rsid w:val="007F25FE"/>
    <w:rsid w:val="007F6648"/>
    <w:rsid w:val="007F7205"/>
    <w:rsid w:val="0080141A"/>
    <w:rsid w:val="00803EE2"/>
    <w:rsid w:val="00806EC7"/>
    <w:rsid w:val="008126C9"/>
    <w:rsid w:val="0081369D"/>
    <w:rsid w:val="008162F4"/>
    <w:rsid w:val="008172BF"/>
    <w:rsid w:val="008202E0"/>
    <w:rsid w:val="00822792"/>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C4742"/>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548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210AF"/>
    <w:rsid w:val="00A25D05"/>
    <w:rsid w:val="00A26C57"/>
    <w:rsid w:val="00A27075"/>
    <w:rsid w:val="00A3257F"/>
    <w:rsid w:val="00A32789"/>
    <w:rsid w:val="00A36068"/>
    <w:rsid w:val="00A410C4"/>
    <w:rsid w:val="00A433A7"/>
    <w:rsid w:val="00A44B9F"/>
    <w:rsid w:val="00A50210"/>
    <w:rsid w:val="00A562B3"/>
    <w:rsid w:val="00A63CB3"/>
    <w:rsid w:val="00A65182"/>
    <w:rsid w:val="00A7770D"/>
    <w:rsid w:val="00A84063"/>
    <w:rsid w:val="00A91C21"/>
    <w:rsid w:val="00A94534"/>
    <w:rsid w:val="00A9641A"/>
    <w:rsid w:val="00AA4BBE"/>
    <w:rsid w:val="00AA75C1"/>
    <w:rsid w:val="00AB217C"/>
    <w:rsid w:val="00AB28C5"/>
    <w:rsid w:val="00AC0C2F"/>
    <w:rsid w:val="00AC31D7"/>
    <w:rsid w:val="00AC35AC"/>
    <w:rsid w:val="00AC706D"/>
    <w:rsid w:val="00AD02C0"/>
    <w:rsid w:val="00AD12BC"/>
    <w:rsid w:val="00AE37FE"/>
    <w:rsid w:val="00AE5697"/>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371"/>
    <w:rsid w:val="00B666A7"/>
    <w:rsid w:val="00B730FC"/>
    <w:rsid w:val="00B74497"/>
    <w:rsid w:val="00B75C0C"/>
    <w:rsid w:val="00B800B7"/>
    <w:rsid w:val="00B801BC"/>
    <w:rsid w:val="00B831F6"/>
    <w:rsid w:val="00B83FD1"/>
    <w:rsid w:val="00B930D6"/>
    <w:rsid w:val="00BA305C"/>
    <w:rsid w:val="00BA37D0"/>
    <w:rsid w:val="00BB0131"/>
    <w:rsid w:val="00BB4B63"/>
    <w:rsid w:val="00BC2D6A"/>
    <w:rsid w:val="00BC3C17"/>
    <w:rsid w:val="00BC5B97"/>
    <w:rsid w:val="00BD79DE"/>
    <w:rsid w:val="00BF360F"/>
    <w:rsid w:val="00C02478"/>
    <w:rsid w:val="00C16296"/>
    <w:rsid w:val="00C216B8"/>
    <w:rsid w:val="00C302EA"/>
    <w:rsid w:val="00C36131"/>
    <w:rsid w:val="00C57A56"/>
    <w:rsid w:val="00C6371A"/>
    <w:rsid w:val="00C65C88"/>
    <w:rsid w:val="00C67BE7"/>
    <w:rsid w:val="00C72AE8"/>
    <w:rsid w:val="00C768E0"/>
    <w:rsid w:val="00C86AF1"/>
    <w:rsid w:val="00C921B7"/>
    <w:rsid w:val="00C92D37"/>
    <w:rsid w:val="00C94669"/>
    <w:rsid w:val="00C975E3"/>
    <w:rsid w:val="00CA1BF5"/>
    <w:rsid w:val="00CA2F82"/>
    <w:rsid w:val="00CA2FF7"/>
    <w:rsid w:val="00CA6B17"/>
    <w:rsid w:val="00CA6BD6"/>
    <w:rsid w:val="00CB203B"/>
    <w:rsid w:val="00CC004C"/>
    <w:rsid w:val="00CC4098"/>
    <w:rsid w:val="00CC46B4"/>
    <w:rsid w:val="00CD15FF"/>
    <w:rsid w:val="00CD390F"/>
    <w:rsid w:val="00CD438F"/>
    <w:rsid w:val="00CD4906"/>
    <w:rsid w:val="00CE1AE8"/>
    <w:rsid w:val="00CE1BC2"/>
    <w:rsid w:val="00CE1D7C"/>
    <w:rsid w:val="00CF6C16"/>
    <w:rsid w:val="00D012B1"/>
    <w:rsid w:val="00D06CB5"/>
    <w:rsid w:val="00D07EF6"/>
    <w:rsid w:val="00D43D2C"/>
    <w:rsid w:val="00D55CAB"/>
    <w:rsid w:val="00D63224"/>
    <w:rsid w:val="00D632C2"/>
    <w:rsid w:val="00D638D1"/>
    <w:rsid w:val="00D643CE"/>
    <w:rsid w:val="00D65B87"/>
    <w:rsid w:val="00D71ADD"/>
    <w:rsid w:val="00D72C39"/>
    <w:rsid w:val="00D764DB"/>
    <w:rsid w:val="00D84D03"/>
    <w:rsid w:val="00D90F42"/>
    <w:rsid w:val="00D923E4"/>
    <w:rsid w:val="00DA3AAA"/>
    <w:rsid w:val="00DA5398"/>
    <w:rsid w:val="00DA53C9"/>
    <w:rsid w:val="00DB6696"/>
    <w:rsid w:val="00DC3383"/>
    <w:rsid w:val="00DC7D25"/>
    <w:rsid w:val="00DD4D67"/>
    <w:rsid w:val="00DD75B9"/>
    <w:rsid w:val="00DE04FC"/>
    <w:rsid w:val="00DE1631"/>
    <w:rsid w:val="00DE1A14"/>
    <w:rsid w:val="00DE3E75"/>
    <w:rsid w:val="00DF4D22"/>
    <w:rsid w:val="00DF7C38"/>
    <w:rsid w:val="00E02245"/>
    <w:rsid w:val="00E0545E"/>
    <w:rsid w:val="00E106D1"/>
    <w:rsid w:val="00E11F98"/>
    <w:rsid w:val="00E122BF"/>
    <w:rsid w:val="00E149E1"/>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44FE"/>
    <w:rsid w:val="00EF7D59"/>
    <w:rsid w:val="00EF7F9E"/>
    <w:rsid w:val="00F1135C"/>
    <w:rsid w:val="00F115FE"/>
    <w:rsid w:val="00F16B9A"/>
    <w:rsid w:val="00F177A0"/>
    <w:rsid w:val="00F242ED"/>
    <w:rsid w:val="00F4283E"/>
    <w:rsid w:val="00F440B2"/>
    <w:rsid w:val="00F45D05"/>
    <w:rsid w:val="00F466ED"/>
    <w:rsid w:val="00F66844"/>
    <w:rsid w:val="00F71221"/>
    <w:rsid w:val="00F77E74"/>
    <w:rsid w:val="00F81641"/>
    <w:rsid w:val="00F83CD6"/>
    <w:rsid w:val="00F83D03"/>
    <w:rsid w:val="00F84AB0"/>
    <w:rsid w:val="00F93D3D"/>
    <w:rsid w:val="00F940E5"/>
    <w:rsid w:val="00FA04D8"/>
    <w:rsid w:val="00FA058D"/>
    <w:rsid w:val="00FA05F6"/>
    <w:rsid w:val="00FA5B7F"/>
    <w:rsid w:val="00FB07CA"/>
    <w:rsid w:val="00FB3198"/>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3174-EB06-47BA-8007-0A4B5F6F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cp:lastPrinted>2017-05-04T09:52:00Z</cp:lastPrinted>
  <dcterms:created xsi:type="dcterms:W3CDTF">2018-02-13T11:29:00Z</dcterms:created>
  <dcterms:modified xsi:type="dcterms:W3CDTF">2018-02-13T15:02:00Z</dcterms:modified>
</cp:coreProperties>
</file>